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left="29" w:right="0" w:hanging="0"/>
        <w:jc w:val="center"/>
        <w:outlineLvl w:val="0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Должностной регламент</w:t>
      </w:r>
    </w:p>
    <w:p>
      <w:pPr>
        <w:pStyle w:val="Normal"/>
        <w:ind w:left="58" w:right="0"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ведущего специалиста-эксперта отдела санитарного надзора</w:t>
      </w:r>
    </w:p>
    <w:p>
      <w:pPr>
        <w:pStyle w:val="Normal"/>
        <w:ind w:left="43" w:right="0"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Управления Федеральной службы по надзору в сфере защиты прав потребителей и благополучия человека по Республике Марий Эл</w:t>
      </w:r>
    </w:p>
    <w:p>
      <w:pPr>
        <w:pStyle w:val="Normal"/>
        <w:ind w:left="43" w:right="0" w:hanging="0"/>
        <w:jc w:val="center"/>
        <w:rPr>
          <w:rFonts w:ascii="PT Astra Serif" w:hAnsi="PT Astra Serif"/>
          <w:color w:val="000000"/>
          <w:sz w:val="16"/>
        </w:rPr>
      </w:pPr>
      <w:r>
        <w:rPr>
          <w:rFonts w:ascii="PT Astra Serif" w:hAnsi="PT Astra Serif"/>
          <w:color w:val="000000"/>
          <w:sz w:val="16"/>
        </w:rPr>
      </w:r>
    </w:p>
    <w:p>
      <w:pPr>
        <w:pStyle w:val="1"/>
        <w:keepLines w:val="false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color w:val="000000"/>
          <w:sz w:val="24"/>
          <w:szCs w:val="24"/>
        </w:rPr>
        <w:t>I. Общие положения</w:t>
      </w:r>
    </w:p>
    <w:p>
      <w:pPr>
        <w:pStyle w:val="Normal"/>
        <w:ind w:left="0" w:right="0" w:firstLine="709"/>
        <w:jc w:val="both"/>
        <w:rPr>
          <w:rFonts w:ascii="PT Astra Serif" w:hAnsi="PT Astra Serif"/>
          <w:color w:val="000000"/>
          <w:sz w:val="24"/>
          <w:highlight w:val="yellow"/>
        </w:rPr>
      </w:pPr>
      <w:r>
        <w:rPr>
          <w:rFonts w:ascii="PT Astra Serif" w:hAnsi="PT Astra Serif"/>
          <w:color w:val="000000"/>
          <w:sz w:val="24"/>
          <w:highlight w:val="yellow"/>
        </w:rPr>
      </w:r>
    </w:p>
    <w:p>
      <w:pPr>
        <w:pStyle w:val="Normal"/>
        <w:ind w:left="43" w:right="0" w:firstLine="66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1.1. Должность федеральной государственной гражданской службы (далее –гражданская служба) ведущий специалист-эксперт отдела санитарного надзора Управления Федеральной службы по надзору в сфере защиты прав потребителей и благополучия человека по Республике Марий Эл (далее – ведущий специалист-эксперт отдела санитарного надзора)  относится к старшей группе должностей категории «специалисты».</w:t>
      </w:r>
    </w:p>
    <w:p>
      <w:pPr>
        <w:pStyle w:val="Normal"/>
        <w:ind w:left="29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Регистрационный номер (код) должности 11-3-4-061.</w:t>
      </w:r>
    </w:p>
    <w:p>
      <w:pPr>
        <w:pStyle w:val="Normal"/>
        <w:tabs>
          <w:tab w:val="clear" w:pos="709"/>
          <w:tab w:val="left" w:pos="851" w:leader="none"/>
          <w:tab w:val="left" w:pos="1276" w:leader="none"/>
          <w:tab w:val="left" w:pos="1418" w:leader="none"/>
          <w:tab w:val="left" w:pos="1701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>
      <w:pPr>
        <w:pStyle w:val="Normal"/>
        <w:tabs>
          <w:tab w:val="clear" w:pos="709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1.3. Вид профессиональной служебной деятельности гражданского служащего: Обеспечение санитарного благополучия населения. </w:t>
      </w:r>
    </w:p>
    <w:p>
      <w:pPr>
        <w:pStyle w:val="Normal"/>
        <w:tabs>
          <w:tab w:val="clear" w:pos="709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1.4. Ведущий специалист - эксперт отдела назначается на должность приказом руководителя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Управления с одновременным расторжением служебного контракта на прохождение государственной службы</w:t>
      </w:r>
      <w:r>
        <w:rPr>
          <w:rFonts w:ascii="PT Astra Serif" w:hAnsi="PT Astra Serif"/>
          <w:color w:val="000000"/>
        </w:rPr>
        <w:t>.</w:t>
      </w:r>
      <w:r>
        <w:rPr>
          <w:rFonts w:ascii="PT Astra Serif" w:hAnsi="PT Astra Serif"/>
          <w:color w:val="000000"/>
          <w:spacing w:val="3"/>
          <w:sz w:val="24"/>
        </w:rPr>
        <w:t xml:space="preserve"> Замещение должности </w:t>
      </w:r>
      <w:r>
        <w:rPr>
          <w:rFonts w:ascii="PT Astra Serif" w:hAnsi="PT Astra Serif"/>
          <w:color w:val="000000"/>
          <w:sz w:val="24"/>
        </w:rPr>
        <w:t xml:space="preserve">ведущего специалиста -эксперта </w:t>
      </w:r>
      <w:r>
        <w:rPr>
          <w:rFonts w:ascii="PT Astra Serif" w:hAnsi="PT Astra Serif"/>
          <w:color w:val="000000"/>
          <w:spacing w:val="3"/>
          <w:sz w:val="24"/>
        </w:rPr>
        <w:t>Отдела осуществляется по результатам конкурса.</w:t>
      </w:r>
    </w:p>
    <w:p>
      <w:pPr>
        <w:pStyle w:val="Normal"/>
        <w:ind w:left="0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1.5. Ведущий специалист - эксперт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</w:t>
      </w:r>
    </w:p>
    <w:p>
      <w:pPr>
        <w:pStyle w:val="Normal"/>
        <w:tabs>
          <w:tab w:val="clear" w:pos="709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1.6. В период временного отсутствия ведущего специалиста - эксперта Управления исполнение его должностных обязанностей возлагается на другого гражданского служащего, замещающего должность специалиста - эксперта.</w:t>
      </w:r>
    </w:p>
    <w:p>
      <w:pPr>
        <w:pStyle w:val="Normal"/>
        <w:rPr>
          <w:rFonts w:ascii="PT Astra Serif" w:hAnsi="PT Astra Serif"/>
          <w:color w:val="000000"/>
          <w:sz w:val="16"/>
        </w:rPr>
      </w:pPr>
      <w:r>
        <w:rPr>
          <w:rFonts w:ascii="PT Astra Serif" w:hAnsi="PT Astra Serif"/>
          <w:color w:val="000000"/>
          <w:sz w:val="16"/>
        </w:rPr>
      </w:r>
    </w:p>
    <w:p>
      <w:pPr>
        <w:pStyle w:val="Normal"/>
        <w:ind w:left="43" w:right="0" w:hanging="0"/>
        <w:jc w:val="center"/>
        <w:rPr>
          <w:rFonts w:ascii="PT Astra Serif" w:hAnsi="PT Astra Serif"/>
          <w:color w:val="000000"/>
          <w:sz w:val="16"/>
        </w:rPr>
      </w:pPr>
      <w:r>
        <w:rPr>
          <w:rFonts w:ascii="PT Astra Serif" w:hAnsi="PT Astra Serif"/>
          <w:color w:val="000000"/>
          <w:sz w:val="16"/>
        </w:rPr>
      </w:r>
    </w:p>
    <w:p>
      <w:pPr>
        <w:pStyle w:val="Normal"/>
        <w:ind w:left="120" w:right="0" w:firstLine="691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II. Квалификационные требования для замещения должности гражданской службы</w:t>
      </w:r>
    </w:p>
    <w:p>
      <w:pPr>
        <w:pStyle w:val="Normal"/>
        <w:ind w:left="120" w:right="0" w:firstLine="691"/>
        <w:jc w:val="center"/>
        <w:rPr>
          <w:rFonts w:ascii="PT Astra Serif" w:hAnsi="PT Astra Serif"/>
          <w:b/>
          <w:b/>
          <w:color w:val="000000"/>
          <w:sz w:val="24"/>
        </w:rPr>
      </w:pPr>
      <w:r>
        <w:rPr>
          <w:rFonts w:ascii="PT Astra Serif" w:hAnsi="PT Astra Serif"/>
          <w:b/>
          <w:color w:val="000000"/>
          <w:sz w:val="24"/>
        </w:rPr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Для замещения должности ведущего специалиста-эксперта отдела санитарного надзора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2.1. Базовые квалификационные требования: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2.1.1. Гражданский служащий, замещающий должность </w:t>
      </w:r>
      <w:bookmarkStart w:id="0" w:name="footnote_back_17"/>
      <w:r>
        <w:rPr>
          <w:rFonts w:ascii="PT Astra Serif" w:hAnsi="PT Astra Serif"/>
          <w:color w:val="000000"/>
          <w:sz w:val="24"/>
        </w:rPr>
        <w:t xml:space="preserve">ведущего специалиста - эксперта отдела санитарного надзора, </w:t>
      </w:r>
      <w:bookmarkEnd w:id="0"/>
      <w:r>
        <w:rPr>
          <w:rFonts w:ascii="PT Astra Serif" w:hAnsi="PT Astra Serif"/>
          <w:color w:val="000000"/>
          <w:sz w:val="24"/>
        </w:rPr>
        <w:t>должен иметь высшее образование не ниже уровня бакалавриата по специальности «Медико-профилактическое дело» или «Санитария, гигиена, эпидемиология», по специальности «Биология» («Биоэкология») или высшее профессиональное образование по специальности «Юриспруденция»,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2.1.2. Для замещения должности ведущего специалиста - эксперта отдела санитарного надзора стажа государственной гражданской службы или работы по специальности, направлению подготовки, не установлено. 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2.1.3. Базовые знания:</w:t>
      </w:r>
    </w:p>
    <w:p>
      <w:pPr>
        <w:pStyle w:val="Style25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- знание государственного языка Российской Федерации (русского языка);</w:t>
      </w:r>
    </w:p>
    <w:p>
      <w:pPr>
        <w:pStyle w:val="Style25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- знания основ </w:t>
      </w:r>
      <w:r>
        <w:rPr>
          <w:rFonts w:ascii="PT Astra Serif" w:hAnsi="PT Astra Serif"/>
          <w:b w:val="false"/>
          <w:color w:val="000000"/>
        </w:rPr>
        <w:t>Конституции</w:t>
      </w:r>
      <w:r>
        <w:rPr>
          <w:rFonts w:ascii="PT Astra Serif" w:hAnsi="PT Astra Serif"/>
          <w:color w:val="000000"/>
        </w:rPr>
        <w:t xml:space="preserve"> Российской Федерации, </w:t>
      </w:r>
      <w:r>
        <w:rPr>
          <w:rFonts w:ascii="PT Astra Serif" w:hAnsi="PT Astra Serif"/>
          <w:b w:val="false"/>
          <w:color w:val="000000"/>
        </w:rPr>
        <w:t xml:space="preserve">законодательства </w:t>
      </w:r>
      <w:r>
        <w:rPr>
          <w:rFonts w:ascii="PT Astra Serif" w:hAnsi="PT Astra Serif"/>
          <w:color w:val="000000"/>
        </w:rPr>
        <w:t xml:space="preserve">Российской Федерации о государственной гражданской службе Российской Федерации, </w:t>
      </w:r>
      <w:r>
        <w:rPr>
          <w:rFonts w:ascii="PT Astra Serif" w:hAnsi="PT Astra Serif"/>
          <w:b w:val="false"/>
          <w:color w:val="000000"/>
        </w:rPr>
        <w:t>законодательства</w:t>
      </w:r>
      <w:r>
        <w:rPr>
          <w:rFonts w:ascii="PT Astra Serif" w:hAnsi="PT Astra Serif"/>
          <w:color w:val="000000"/>
        </w:rPr>
        <w:t xml:space="preserve"> Российской Федерации о противодействии коррупции;</w:t>
      </w:r>
    </w:p>
    <w:p>
      <w:pPr>
        <w:pStyle w:val="Style25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2.1.4. Базовые умения: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соблюдать этику делового общения;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системно,  планировать и рационально использовать служебное время;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-коммуникативные умения;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совершенствовать свой профессиональный уровень;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умения в области информационно-коммуникационных технологий;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мыслить системно (стратегически) 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управлять изменениями.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2.2. Профессионально-функциональные квалификационные требования:</w:t>
      </w:r>
    </w:p>
    <w:p>
      <w:pPr>
        <w:pStyle w:val="Default1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2.2.1. Гражданский служащий, замещающий должность ведущего специалиста эксперта отдела санитарного надзора, должен обладать следующими профессиональными знаниями в сфере законодательства Российской Федерации: </w:t>
      </w:r>
    </w:p>
    <w:p>
      <w:pPr>
        <w:pStyle w:val="Normal"/>
        <w:tabs>
          <w:tab w:val="clear" w:pos="709"/>
          <w:tab w:val="left" w:pos="0" w:leader="none"/>
          <w:tab w:val="left" w:pos="2754" w:leader="none"/>
          <w:tab w:val="left" w:pos="4463" w:leader="none"/>
          <w:tab w:val="left" w:pos="6110" w:leader="none"/>
          <w:tab w:val="left" w:pos="6858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Кодекс Российской Федерации об административных  правонарушениях;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Гражданский процессуальный кодекс Российской Федерации;</w:t>
      </w:r>
    </w:p>
    <w:p>
      <w:pPr>
        <w:pStyle w:val="Normal"/>
        <w:tabs>
          <w:tab w:val="clear" w:pos="709"/>
          <w:tab w:val="left" w:pos="1478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24 июня 1998 г. № 89-ФЗ «Об отходах производства и потребления»;</w:t>
      </w:r>
    </w:p>
    <w:p>
      <w:pPr>
        <w:pStyle w:val="Normal"/>
        <w:tabs>
          <w:tab w:val="clear" w:pos="709"/>
          <w:tab w:val="left" w:pos="1478" w:leader="none"/>
          <w:tab w:val="left" w:pos="4655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17 сентября 1998 г. № 157-ФЗ «Об иммунопрофилактике инфекционных болезней»;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30 марта 1999 г. № 52-ФЗ «О санитарно-эпидемиологическом благополучии населения»;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 января 2000 г. № 29-ФЗ «О качестве и безопасности пищевых продуктов»;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27 декабря 2002 г. № 184-ФЗ «О техническом регулировании»;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27 июля 2010 г. № 210-ФЗ «Об организации предоставления государственных и муниципальных услуг»;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4 мая 2011 г. № 99-ФЗ «О лицензировании отдельных видов деятельности»;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21 ноября 2011 г. № 323-ФЗ «Об основах охраны здоровья граждан в Российской Федерации»;</w:t>
      </w:r>
    </w:p>
    <w:p>
      <w:pPr>
        <w:pStyle w:val="Normal"/>
        <w:tabs>
          <w:tab w:val="clear" w:pos="709"/>
          <w:tab w:val="left" w:pos="4300" w:leader="none"/>
          <w:tab w:val="left" w:pos="4934" w:leader="none"/>
          <w:tab w:val="left" w:pos="5457" w:leader="none"/>
          <w:tab w:val="left" w:pos="6671" w:leader="none"/>
          <w:tab w:val="left" w:pos="7780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7декабря</w:t>
        <w:tab/>
        <w:t>2011 г. № 416-ФЗ «О водоснабжении и водоотведении»;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Федеральный закон от 23 февраля 2013 г. № 15-ФЗ «Об охране здоровья граждан от воздействия окружающего табачного дыма и последствий потребления табака и никотинсодержащей продукции»</w:t>
      </w:r>
      <w:r>
        <w:rPr>
          <w:rFonts w:ascii="PT Astra Serif" w:hAnsi="PT Astra Serif"/>
          <w:color w:val="000000"/>
          <w:sz w:val="24"/>
        </w:rPr>
        <w:t>;</w:t>
      </w:r>
    </w:p>
    <w:p>
      <w:pPr>
        <w:pStyle w:val="Normal"/>
        <w:tabs>
          <w:tab w:val="clear" w:pos="709"/>
          <w:tab w:val="left" w:pos="1517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Градостроительный кодекс Российской Федерации;</w:t>
      </w:r>
    </w:p>
    <w:p>
      <w:pPr>
        <w:pStyle w:val="Normal"/>
        <w:tabs>
          <w:tab w:val="clear" w:pos="709"/>
          <w:tab w:val="left" w:pos="1517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Водный кодекс Российской Федерации;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21 ноября 1995 г. № 170-ФЗ «Об использовании атомной энергии»;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9 января1996 г. № 3-ФЗ «О радиационной безопасности населения»;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5 июля 1996 г. № 86-ФЗ «О государственном регулировании в области генно-инженерной деятельности»;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4 мая 1999 г. № 96-ФЗ «Об охране атмосферного воздуха»;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Федеральный закон от 31 июля 2020 г. № 248-ФЗ «О государственном контроле (надзоре) и муниципальном контроле в Российской Федерации»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10 января 2002 г. № 7-ФЗ «Об охране окружающей среды»;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27 июля 2006 г. № 149-ФЗ «Об информации, информационных технологиях и о защите информации» (статья 15.1);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11 июля 2011 г. № 190-ФЗ «Об обращении с радиоактивными отходами и о внесении изменений в отдельные законодательные акты Российской Федерации»;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28 декабря 2013 г. № 426-ФЗ «О специальной оценке условий труда»;</w:t>
      </w:r>
    </w:p>
    <w:p>
      <w:pPr>
        <w:pStyle w:val="Normal"/>
        <w:tabs>
          <w:tab w:val="clear" w:pos="709"/>
          <w:tab w:val="left" w:pos="14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Федеральный закон от 1 июля 2017 г.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15 июля 1999 г.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24 июля г. № 554 «Об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25 декабря 2001 г. № 892 «О реализации Федерального закона «О предупреждении распространения туберкулеза в Российской Федерации»;</w:t>
      </w:r>
    </w:p>
    <w:p>
      <w:pPr>
        <w:pStyle w:val="Normal"/>
        <w:tabs>
          <w:tab w:val="clear" w:pos="709"/>
          <w:tab w:val="left" w:pos="3455" w:leader="none"/>
          <w:tab w:val="left" w:pos="5394" w:leader="none"/>
          <w:tab w:val="left" w:pos="7031" w:leader="none"/>
          <w:tab w:val="left" w:pos="859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30 июня 2021 г. № 1100 «О федеральном государственном санитарно-эпидемиологическом контроле (надзоре)»;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25 июня 2021 г. № 1105 «Об утверждении Положения о федеральном государственном контроле (надзоре) в области защиты прав потребителей»;</w:t>
      </w:r>
    </w:p>
    <w:p>
      <w:pPr>
        <w:pStyle w:val="Normal"/>
        <w:tabs>
          <w:tab w:val="clear" w:pos="709"/>
          <w:tab w:val="left" w:pos="3455" w:leader="none"/>
          <w:tab w:val="left" w:pos="5394" w:leader="none"/>
          <w:tab w:val="left" w:pos="7026" w:leader="none"/>
          <w:tab w:val="left" w:pos="859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19 августа 2005 г. № 529 «Об организации и контроле за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15 сентября 2005 г. № 569 «О Положении об осуществлении государственного санитарно-эпидемиологического надзора в Российской Федерации»;</w:t>
      </w:r>
    </w:p>
    <w:p>
      <w:pPr>
        <w:pStyle w:val="Normal"/>
        <w:tabs>
          <w:tab w:val="clear" w:pos="709"/>
          <w:tab w:val="left" w:pos="3455" w:leader="none"/>
          <w:tab w:val="left" w:pos="5394" w:leader="none"/>
          <w:tab w:val="left" w:pos="7026" w:leader="none"/>
          <w:tab w:val="left" w:pos="859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 февраля 2006 г. № 60 «Об утверждении Положения о проведении социально-гигиенического мониторинга»;</w:t>
      </w:r>
    </w:p>
    <w:p>
      <w:pPr>
        <w:pStyle w:val="Normal"/>
        <w:tabs>
          <w:tab w:val="clear" w:pos="709"/>
          <w:tab w:val="left" w:pos="3455" w:leader="none"/>
          <w:tab w:val="left" w:pos="5399" w:leader="none"/>
          <w:tab w:val="left" w:pos="7031" w:leader="none"/>
          <w:tab w:val="left" w:pos="859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ноября 2011 г. № 957 «Об организации лицензирования отдельных видов деятельности»;</w:t>
      </w:r>
    </w:p>
    <w:p>
      <w:pPr>
        <w:pStyle w:val="Normal"/>
        <w:tabs>
          <w:tab w:val="clear" w:pos="709"/>
          <w:tab w:val="left" w:pos="3455" w:leader="none"/>
          <w:tab w:val="left" w:pos="5399" w:leader="none"/>
          <w:tab w:val="left" w:pos="7031" w:leader="none"/>
          <w:tab w:val="left" w:pos="859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 Правительства Российской Федерации</w:t>
        <w:tab/>
        <w:t>от 28 августа 2012 г. № 866 «О федеральном органе исполнительной власти, уполномоченном осуществлять государственную регистрацию товаров, и признании утратившими силу некоторых актов Правительства Российской Федерации по вопросам государственной регистрации отдельных видов продукции»;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Минздрава России от 28 мая 2001 г. № 176 «О совершенствовании системы расследования и учета профессиональных заболеваний в Российской Федерации»;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Минздрава России от 30 декабря 2003 г. № 621 «О комплексной оценке состояния здоровья детей»;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17 ноября 2006 г. № 367 «О Порядке проведения социально-гигиенического мониторинга, представления данных и обмена ими»;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17 ноября 2006 г. № 368 «Об утверждении нормативных документов по проведению социально-гигиенического мониторинга»;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5 декабря 2006 г. № 383 «Об утверждении Порядка информирования органов государственной власти, органов местного самоуправления, организаций и населения о результатах, полученных при проведении социально-гигиенического мониторинга»;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23 июля 2012 г. № 781 «Об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государственной регистрации впервые внедряемых в производство и ранее не использовавшихся химических, биологических веществ и изготовляемых на их основе препаратов, потенциально опасных для человека (кроме лекарственных средств); отдельных видов продукции, представляющих потенциальную опасность для человека (кроме лекарственных средств); отдельных видов продукции, в том числе пищевых продуктов, впервые ввозимых на таможенную территорию Таможенного союза»;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27 декабря 2013 г. № 987 «Об 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осуществлению лицензионного контроля деятельности в области использования источников ионизирующего излучения(генерирующих) (за исключением случая, если эти источники используются для медицинской деятельности)»;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28 января 1997 г. № 93 «О Порядке разработки радиационно-гигиенических паспортов организаций и территорий»;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 марта 2000 г. № 182 «О порядке установления и пересмотра экологических и гигиенических нормативов качества атмосферного воздуха, предельно допустимых уровней физических воздействий на атмосферный воздух и государственной регистрации вредных (загрязняющих) веществ и потенциально опасных веществ»;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22 ноября 2000 г. № 883 «Об организации и проведении мониторинга качества, безопасности пищевых продуктов и здоровья населения»;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15 декабря 2000 г. № 967 «Об утверждении Положения о расследовании и учете профессиональных заболеваний»;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21 декабря 2000 г. № 987 «О государственном надзоре в области обеспечения качества и безопасности пищевых продуктов»;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30 декабря2006 г. № 844 «О порядке подготовки и принятия решения о предоставлении водного объекта в пользование»;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30 декабря 2006 г. № 881 «О порядке утверждения нормативов допустимого воздействия на водные объекты»;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23 июля 2007 г. № 469 «О порядке утверждения нормативов допустимых сбросов веществ и микроорганизмов в водные объекты для водопользователей»;</w:t>
      </w:r>
    </w:p>
    <w:p>
      <w:pPr>
        <w:pStyle w:val="Normal"/>
        <w:tabs>
          <w:tab w:val="clear" w:pos="709"/>
          <w:tab w:val="left" w:pos="15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27 декабря 2010г. № 1160 «Об утверждении Положения о разработке, утверждении и изменении нормативных правовых актов, содержащих государственные нормативные требования охраны труда»;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6 мая 2011г. № 352 «Об утверждении перечня услуг,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оказание»;</w:t>
      </w:r>
    </w:p>
    <w:p>
      <w:pPr>
        <w:pStyle w:val="Normal"/>
        <w:tabs>
          <w:tab w:val="clear" w:pos="709"/>
          <w:tab w:val="left" w:pos="15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19 октября 2011г. № 1069 «О критериях отнесения твердых, жидких и газообразных отходов к радиоактивным отходам, критериях отнесения радиоактивных отходов к особым радиоактивным отходам и к удаляемым радиоактивным отходам и критериях классификации удаляемых радиоактивных отходов»;</w:t>
      </w:r>
    </w:p>
    <w:p>
      <w:pPr>
        <w:pStyle w:val="Normal"/>
        <w:tabs>
          <w:tab w:val="clear" w:pos="709"/>
          <w:tab w:val="left" w:pos="15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>
      <w:pPr>
        <w:pStyle w:val="Normal"/>
        <w:tabs>
          <w:tab w:val="clear" w:pos="709"/>
          <w:tab w:val="left" w:pos="15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6 июня 2012 г.г. № 477 «Об осуществлении государственного мониторинга состояния и загрязнения окружающей среды»;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17 декабря 2013 г. № 1177 «Об утверждении Правил организованной перевозки детей автобусами»;</w:t>
      </w:r>
    </w:p>
    <w:p>
      <w:pPr>
        <w:pStyle w:val="Normal"/>
        <w:tabs>
          <w:tab w:val="clear" w:pos="709"/>
          <w:tab w:val="left" w:pos="14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Российской Федерации от 10 июля 2014 г. № 639 «О государственном мониторинге радиационной обстановки на территории Российской Федерации»;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Постановление Правительства РФ от 3 марта 2018 г. № 222 «Об утверждении Правил установления санитарно-защитных зон и использования земельных участков, расположенных в границах санитарно-защитных зон»;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9 сентября 2004 г. № 13 «О Государственном реестре и информационной системе учета продукции, веществ, препаратов, прошедших государственную регистрацию»;</w:t>
      </w:r>
    </w:p>
    <w:p>
      <w:pPr>
        <w:pStyle w:val="Normal"/>
        <w:tabs>
          <w:tab w:val="clear" w:pos="709"/>
          <w:tab w:val="left" w:pos="141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20 мая 2005 г. № 402 «О личной медицинской книжке и санитарном паспорте»;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26 февраля 2006 г. № 36 «О государственной регистрации биологически активных добавок к пище»;</w:t>
      </w:r>
    </w:p>
    <w:p>
      <w:pPr>
        <w:pStyle w:val="Normal"/>
        <w:tabs>
          <w:tab w:val="clear" w:pos="709"/>
          <w:tab w:val="left" w:pos="14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1 августа 2006 г. № 225 «О санитарно-эпидемиологической экспертизе пестицидов и агрохимикатов»;</w:t>
      </w:r>
    </w:p>
    <w:p>
      <w:pPr>
        <w:pStyle w:val="Normal"/>
        <w:tabs>
          <w:tab w:val="clear" w:pos="709"/>
          <w:tab w:val="left" w:pos="142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8 августа 2006 г. № 233 «О регистрации лиц, пострадавших от радиационного воздействия и подвергшихся радиационному облучению в результате чернобыльской и других радиационных катастроф и инцидентов»;</w:t>
      </w:r>
    </w:p>
    <w:p>
      <w:pPr>
        <w:pStyle w:val="Normal"/>
        <w:tabs>
          <w:tab w:val="clear" w:pos="709"/>
          <w:tab w:val="left" w:pos="14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31 марта 2008 г. № 103 «Об утверждении инструкции по составлению санитарно-гигиенической характеристики условий труда работника при подозрении у него профессионального заболевания»;</w:t>
      </w:r>
    </w:p>
    <w:p>
      <w:pPr>
        <w:pStyle w:val="Normal"/>
        <w:tabs>
          <w:tab w:val="clear" w:pos="709"/>
          <w:tab w:val="left" w:pos="1426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Роспотребнадзора от 9 ноября 2012 г. № 1085 «О порядке рассмотрения запросов о наличии запрещенной информации по доменному имени и (или) указателю страницы сайта в сети «Интернет», а также принятия решений, являющихся основаниями для включения доменных имен и (или) указателей страниц сайтов в сети «Интернет», а также сетевых адресов в единый реестр, в отношении информации о способах совершения самоубийства, а также призывов к совершению самоубийства»;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приказ Минтруда России от 24 января 2014 г.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заполнению»;</w:t>
      </w:r>
    </w:p>
    <w:p>
      <w:pPr>
        <w:pStyle w:val="Normal"/>
        <w:tabs>
          <w:tab w:val="clear" w:pos="709"/>
          <w:tab w:val="left" w:pos="141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Решение Комиссии Таможенного союза от 9 декабря 2011 г. № 880 «О принятии технического регламента Таможенного союза «О безопасности пищевой продукции»;</w:t>
      </w:r>
    </w:p>
    <w:p>
      <w:pPr>
        <w:pStyle w:val="Normal"/>
        <w:tabs>
          <w:tab w:val="clear" w:pos="709"/>
          <w:tab w:val="left" w:pos="141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Решение Комиссии Таможенного союза от 9 декабря 2011 г. № 882 «О принятии технического регламента Таможенного союза «Технический регламент на соковую продукцию из фруктов и овощей»;</w:t>
      </w:r>
    </w:p>
    <w:p>
      <w:pPr>
        <w:pStyle w:val="Normal"/>
        <w:tabs>
          <w:tab w:val="clear" w:pos="709"/>
          <w:tab w:val="left" w:pos="1411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Решение Совета Евразийской экономической комиссии от 9 октября 2013 г. № 67 «О техническом регламенте Таможенного союза «О безопасности молока и молочной продукции»;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Санитарные правила (СП), санитарные нормы (СН), гигиенические нормативы (ГН), санитарные правила и нормы (СанПиН),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административные  регламенты и иные нормативные правовые акты в рамках компетенции Роспотребнадзора.</w:t>
      </w:r>
    </w:p>
    <w:p>
      <w:pPr>
        <w:pStyle w:val="Default1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2.2.2. Иные профессиональные знания ведущего специалиста –эксперта отдела санитарного надзора должны включать: теоретические вопросы  гигиены и эпидемиологии, общие принципы системы профилактики; методики и порядки проведения санитарно-эпидемиологических и иных видов оценок основные  показатели  здоровья населения; критерии  комплексной оценки состояния здоровья; теоретические и  организационные основы государственного санитарно-эпидемиологического надзора и его обеспечения; цели, задачи, содержание и методы государственного санитарно-эпидемиологического надзора в учреждениях для детей и подростков принципы организации и содержание профилактических мероприятий по  предупреждению или уменьшению степени неблагоприятного влияния на человека факторов среды обитания в условиях населенных мест; методы гигиенических исследований объектов окружающей среды; основные  принципы  построения здорового образа жизни; показатели состояния среды обитания и здоровья населения в системе социально-гигиенического  мониторинга; методы установления причинно-следственных связей между состоянием среды обитания и здоровьем  населения; порядок осуществления противоэпидемических мероприятий,  защиту населения в очагах особо опасных инфекций, при ухудшении радиационной обстановки и стихийных бедствиях; основы доказательной медицины; основные принципы и методику планирования профилактических и противоэпидемических мероприятий в чрезвычайных ситуациях; основные физико-химические, математические и др. естественнонаучные понятия и методы сбора и медико-статистического анализа информации о состоянии санитарно-эпидемиологической обстановки; методы изучения состояния здоровья населения (уровень общей, инфекционной, в том числе ИСМП, паразитарной, неинфекционной, заболеваемости, состояние физического развития отдельных контингентов и др.); причины, условия и механизмы возникновения заболеваний и их распространения; основные критерии общественного здоровья и факторы риска социально-значимых и наиболее распространенных заболеваний, методы и организационные формы их профилактики; методы дезинфекции, дезинсекции и дератизации, применяемые на объектах различных категорий; порядок  применения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выдачи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требований; современные подходы к изучению и оценке  состояния  здоровья, заболеваемости, физического  и психического развития  детей  и подростков; принципы и методы проведения санитарно-просветительной работы среди  населения по профилактике ряда заболеваний, пропаганде здорового образа жизни; классификацию патогенности микроорганизмов; биологические факторы окружающей среды и их предельно допустимые концентрации; требования к организационным, санитарно-противоэпидемическим (профилактическим) мероприятиям, направленным на обеспечение личной и общественной безопасности, защиту окружающей среды при работе с патогенными биологическими агентами;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 на объектах жилищно-коммунального хозяйства и социально-бытовой среды; цели, задачи, содержание и методы государственного санитарно-эпидемиологического надзора на объектах  пищевой промышленности, общественного питания и торговли; цели, задачи, содержание и методы государственного санитарно-эпидемиологического надзора на производственных объектах; основы взаимодействия человека и окружающей среды;  принципы гигиенического нормирования  химических, физических  и биологических факторов среды обитания человека в условиях населенных мест; принципы гигиенического нормирования  вредных  и опасных факторов  производственной среды и трудового процесса; меры профилактики их вредного воздействия; эпидемиологию инфекционных и неинфекционных заболеваний; принципы построения государственного учета по показателям состояния здоровья населения, демографическим показателям; основы применения современных информационно-коммуникационных технологий, геоинформационных систем; комплексные показатели антропогенной нагрузки; принципы гигиенического изучения состояния здоровья и профилактики заболеваемости населения (популяции); основы радиационной безопасности; действие  ионизирующих излучений на здоровье человека; основы  и принципы организации рационального  питания различных возрастных   и  профессиональных групп;  гигиенические основы организации лечебно-профилактического питания; физиолого-гигиенические принципы организации учебно-воспитательного  процесса в образовательных учреждениях; особенности диагностики профессиональных и производственно    обусловленных болезней; анализ действующих вредных производственных факторов на основании санитарно-гигиенической характеристики условий труда; критерии диагностики острых профессиональных интоксикаций; перечень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(обследования); правила и формы оценки соответствия объекта, определяемые с учетом степени риска;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2.2.3. Иные функциональные знания ведущего специалиста эксперта отдела санитарного надзора должны включать: 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 меры, принимаемые по результатам проверки; основания проведения и особенности внеплановых проверок.</w:t>
        <w:tab/>
        <w:tab/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2.2.4.Гражданский служащий, замещающий должность ведущего специалиста-эксперта отдела санитарного надзора должен обладать следующими профессиональными умениями: </w:t>
      </w:r>
      <w:r>
        <w:rPr>
          <w:rFonts w:ascii="PT Astra Serif" w:hAnsi="PT Astra Serif"/>
          <w:sz w:val="24"/>
        </w:rPr>
        <w:t>анализа количественных и качественных показателей работы, составления отчета о работе; работы с технической документацией;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sz w:val="24"/>
        </w:rPr>
        <w:t>организации проведения санитарно-эпидемиологических и иных видов оценки; осуществления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ситуаций; применения установленных санитарно-эпидемиологических требований; применения специализированного оборудования и медицинских изделий, предусмотренных для использования в профессиональной сфере санитарно-просветительской деятельности среди с целью устранения факторов риска и формирования навыков здорового образа жизни, направленных на сохранение и укрепление здоровья; оценки производственного контроля за обеспечением санитарно-эпидемиологического благополучия хозяйствующими субъектами; комплексной оценки состояния здоровья населения.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2.2.5. Гражданский служащий, замещающий должность ведущего специалиста-эксперта отдела санитарного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 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>
      <w:pPr>
        <w:pStyle w:val="Normal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</w:r>
    </w:p>
    <w:p>
      <w:pPr>
        <w:pStyle w:val="Normal"/>
        <w:ind w:left="0" w:right="0" w:firstLine="567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 xml:space="preserve">III. </w:t>
      </w:r>
      <w:r>
        <w:rPr>
          <w:rFonts w:ascii="PT Astra Serif" w:hAnsi="PT Astra Serif"/>
          <w:b/>
          <w:color w:val="000000"/>
          <w:spacing w:val="3"/>
          <w:sz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>
      <w:pPr>
        <w:pStyle w:val="Normal"/>
        <w:ind w:left="0" w:right="20" w:firstLine="567"/>
        <w:jc w:val="center"/>
        <w:rPr>
          <w:rFonts w:ascii="PT Astra Serif" w:hAnsi="PT Astra Serif"/>
          <w:b/>
          <w:b/>
          <w:color w:val="000000"/>
          <w:spacing w:val="-1"/>
          <w:sz w:val="24"/>
        </w:rPr>
      </w:pPr>
      <w:r>
        <w:rPr>
          <w:rFonts w:ascii="PT Astra Serif" w:hAnsi="PT Astra Serif"/>
          <w:b/>
          <w:color w:val="000000"/>
          <w:spacing w:val="-1"/>
          <w:sz w:val="24"/>
        </w:rPr>
      </w:r>
    </w:p>
    <w:p>
      <w:pPr>
        <w:pStyle w:val="Normal"/>
        <w:ind w:left="0" w:right="5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Ведущий специалист - эксперт отдела в соответствии с возложенными на отдел задачами и функциями  по направлению деятельности обязан:</w:t>
      </w:r>
    </w:p>
    <w:p>
      <w:pPr>
        <w:pStyle w:val="Normal"/>
        <w:ind w:left="0" w:right="0" w:firstLine="720"/>
        <w:jc w:val="both"/>
        <w:rPr/>
      </w:pPr>
      <w:r>
        <w:rPr>
          <w:rFonts w:ascii="PT Astra Serif" w:hAnsi="PT Astra Serif"/>
          <w:color w:val="000000"/>
          <w:sz w:val="24"/>
        </w:rPr>
        <w:t xml:space="preserve">1.В соответствии со ст.15 Федерального закона от 27 июля 2004 г. № 79-ФЗ «О государственной гражданской службе Российской Федерации» соблюдать </w:t>
      </w:r>
      <w:hyperlink r:id="rId2">
        <w:r>
          <w:rPr>
            <w:rFonts w:ascii="PT Astra Serif" w:hAnsi="PT Astra Serif"/>
            <w:color w:val="000000"/>
            <w:sz w:val="24"/>
          </w:rPr>
          <w:t>Конституцию</w:t>
        </w:r>
      </w:hyperlink>
      <w:r>
        <w:rPr>
          <w:rFonts w:ascii="PT Astra Serif" w:hAnsi="PT Astra Serif"/>
          <w:color w:val="000000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2.Исполнять должностные обязанности в соответствии с должностным регламентом;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4.Соблюдать при исполнении должностных обязанностей права и законные интересы граждан и организаций;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5.Соблюдать служебный распорядок;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6.Поддерживать уровень квалификации, необходимый для надлежащего исполнения должностных обязанностей;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9.Беречь государственное имущество, в том числе предоставленное ему для исполнения должностных обязанностей;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 11.соблюдать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>
        <w:rPr>
          <w:rFonts w:ascii="PT Astra Serif" w:hAnsi="PT Astra Serif"/>
          <w:color w:val="000000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12. </w:t>
      </w:r>
      <w:r>
        <w:rPr>
          <w:rFonts w:ascii="PT Astra Serif" w:hAnsi="PT Astra Serif"/>
          <w:color w:val="000000"/>
          <w:sz w:val="24"/>
        </w:rPr>
        <w:t>Представлять в установленном порядке предусмотренные федеральным законом сведения  о себе и членах своей семьи;</w:t>
      </w:r>
    </w:p>
    <w:p>
      <w:pPr>
        <w:pStyle w:val="Style15"/>
        <w:ind w:left="0" w:right="0" w:firstLine="567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13. </w:t>
      </w:r>
      <w:r>
        <w:rPr>
          <w:rFonts w:ascii="PT Astra Serif" w:hAnsi="PT Astra Serif"/>
          <w:color w:val="000000"/>
          <w:sz w:val="24"/>
        </w:rPr>
        <w:t>Осуществлять деятельность по предупреждению, обнаружению, пресечению нарушений законодательства Российской Федерации в области обеспечения санитарно-эпидемиологического благополучия населения, а так же применять меры административного, ограничительного, предупредительного и профилактического характера.</w:t>
      </w:r>
    </w:p>
    <w:p>
      <w:pPr>
        <w:pStyle w:val="Style15"/>
        <w:ind w:left="0" w:right="0" w:firstLine="567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14.  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</w:t>
      </w:r>
      <w:r>
        <w:rPr>
          <w:rFonts w:ascii="PT Astra Serif" w:hAnsi="PT Astra Serif"/>
          <w:sz w:val="24"/>
        </w:rPr>
        <w:t>Федерального закона  от 31.07.2020г. №248-ФЗ "О государственном контроле (надзоре) и муниципальном контроле в Российской Федерации"</w:t>
      </w:r>
      <w:r>
        <w:rPr>
          <w:rFonts w:ascii="PT Astra Serif" w:hAnsi="PT Astra Serif"/>
          <w:color w:val="000000"/>
          <w:sz w:val="24"/>
        </w:rPr>
        <w:t>;</w:t>
      </w:r>
    </w:p>
    <w:p>
      <w:pPr>
        <w:pStyle w:val="Style15"/>
        <w:ind w:left="0" w:right="0" w:firstLine="567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15. Проводить федеральный государственный надзор за соблюдением обязательных требований санитарных правил, технических регламентов Таможенного союза, в сфере защиты прав потребителей и Российской Федерации юридическими лицами и индивидуальными предпринимателями с соблюдением установленного порядка и режима работы контролируемых предприятий, организаций, учреждений любой формы собственности.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16. Осуществлять проверки соответствия товаров (работ, услуг) обязательным требованиям, обеспечивающим безопасность товаров (работ, услуг) для жизни и здоровья потребителей и окружающей среды, и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17. По завершению проверок представлять в установленном порядке соответствующие материалы проверок начальнику Отдела, заместителю начальника Отдела.  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18. Рассматривать в пределах своей компетенции материалы проверок, готовить соответствующие процессуальные документы (предписания, представления, предостережения и т.д.), готовить материалы для принятия решений об административных правонарушениях.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19. Обобщать материалы проверок, готовить проекты информаций, справок, обзоров, докладных записок, и других информационно – аналитических материалов.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20. Своевременно вносить соответствующие записи в журналы учета мероприятий по проведению государственного контроля на проверяемых предприятиях и в Отделе, в информационную базу учета проверок и их эффективности.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bookmarkStart w:id="1" w:name="sub_1053"/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>21. Применять в порядке, установленном законодательством Российской Федерации, меры пресечения нарушений обязательных требований, выдавать предписания об устранении выявленных нарушений обязательных требований, требований технических регламентов.</w:t>
      </w:r>
      <w:bookmarkStart w:id="2" w:name="sub_1054"/>
      <w:bookmarkEnd w:id="1"/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>22. Осуществлять контроль выполнения предписаний, постановлений, представлений, своевременного устранения выявленных нарушений.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>23. Возбуждать дела по признакам нарушений законодательства в области обеспечения санитарно-эпидемиологического населения и в сфере технического регулирования в порядке, предусмотренном КоАП РФ.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24. Принимать меры по приостановлению производства и реализации товаров (выполнения работ, оказания услуг), которые не соответствуют обязательным требованиям. </w:t>
      </w:r>
      <w:bookmarkEnd w:id="2"/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25. Принимать участие в осуществлении статистического наблюдения в области обеспечения санитарно-эпидемиологического населения, в составлении отчетов. </w:t>
      </w:r>
    </w:p>
    <w:p>
      <w:pPr>
        <w:pStyle w:val="Normal"/>
        <w:spacing w:lineRule="exact" w:line="269"/>
        <w:ind w:left="0" w:right="38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26. </w:t>
      </w:r>
      <w:r>
        <w:rPr>
          <w:rFonts w:ascii="PT Astra Serif" w:hAnsi="PT Astra Serif"/>
          <w:color w:val="000000"/>
          <w:spacing w:val="4"/>
          <w:sz w:val="24"/>
        </w:rPr>
        <w:t xml:space="preserve">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 </w:t>
      </w:r>
    </w:p>
    <w:p>
      <w:pPr>
        <w:pStyle w:val="Normal"/>
        <w:tabs>
          <w:tab w:val="clear" w:pos="709"/>
          <w:tab w:val="left" w:pos="720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-6"/>
          <w:sz w:val="24"/>
        </w:rPr>
        <w:t xml:space="preserve">27. Вести делопроизводство по мероприятиям в отношении юридических лиц и индивидуальных предпринимателей по </w:t>
      </w:r>
      <w:r>
        <w:rPr>
          <w:rFonts w:ascii="PT Astra Serif" w:hAnsi="PT Astra Serif"/>
          <w:color w:val="000000"/>
          <w:spacing w:val="-9"/>
          <w:sz w:val="24"/>
        </w:rPr>
        <w:t>направлениям деятельности Отдела.</w:t>
      </w:r>
      <w:r>
        <w:rPr>
          <w:rFonts w:ascii="PT Astra Serif" w:hAnsi="PT Astra Serif"/>
          <w:color w:val="000000"/>
          <w:sz w:val="24"/>
        </w:rPr>
        <w:t xml:space="preserve"> </w:t>
      </w:r>
    </w:p>
    <w:p>
      <w:pPr>
        <w:pStyle w:val="Normal"/>
        <w:tabs>
          <w:tab w:val="clear" w:pos="709"/>
          <w:tab w:val="left" w:pos="1276" w:leader="none"/>
        </w:tabs>
        <w:ind w:left="0" w:right="14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28. Принимать участие в подготовке материала для информирования </w:t>
      </w:r>
      <w:r>
        <w:rPr>
          <w:rFonts w:ascii="PT Astra Serif" w:hAnsi="PT Astra Serif"/>
          <w:color w:val="000000"/>
          <w:spacing w:val="-3"/>
          <w:sz w:val="24"/>
        </w:rPr>
        <w:t xml:space="preserve">о выявленных нарушениях санитарного законодательства и о проведенных </w:t>
      </w:r>
      <w:r>
        <w:rPr>
          <w:rFonts w:ascii="PT Astra Serif" w:hAnsi="PT Astra Serif"/>
          <w:color w:val="000000"/>
          <w:sz w:val="24"/>
        </w:rPr>
        <w:t>мероприятиях по их устранению.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29. Принимать участие в подготовке ежегодных докладов «О состоянии санитарно-эпидемиологического благополучия населения Российской Федерации», «Об осуществлении федерального государственного санитарно-эпидемиологического надзора, федерального государственного надзора в области защиты прав потребителей, федерального государственного контроля за соблюдением требований законодательства об энергосбережении и о повышении энергетической эффективности»,  информационного сборника.</w:t>
      </w:r>
    </w:p>
    <w:p>
      <w:pPr>
        <w:pStyle w:val="Normal"/>
        <w:tabs>
          <w:tab w:val="clear" w:pos="709"/>
          <w:tab w:val="left" w:pos="720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-2"/>
          <w:sz w:val="24"/>
        </w:rPr>
        <w:t>30. Св</w:t>
      </w:r>
      <w:r>
        <w:rPr>
          <w:rFonts w:ascii="PT Astra Serif" w:hAnsi="PT Astra Serif"/>
          <w:color w:val="000000"/>
          <w:sz w:val="24"/>
        </w:rPr>
        <w:t>оевременно и в полном объеме рассматривать обращения граждан, органов государственной власти, органов местного самоуправления, юридических лиц и индивидуальных предпринимателей, направлять заявителям ответы в установленный законодательством Российской Федерации срок</w:t>
      </w:r>
      <w:r>
        <w:rPr>
          <w:rFonts w:ascii="PT Astra Serif" w:hAnsi="PT Astra Serif"/>
          <w:color w:val="000000"/>
          <w:spacing w:val="-2"/>
          <w:sz w:val="24"/>
        </w:rPr>
        <w:t xml:space="preserve">. 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31. Принимать участие в просвещении населения по вопросам обеспечения санитарно-эпидемиологического  благополучия населения и радиационной безопасности  через печатные СМИ и официальный сайт Управления.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-4"/>
          <w:sz w:val="24"/>
        </w:rPr>
        <w:t>32. Вести делопроизводство в соответствии с Инструкцией по делопроизводству Управления.</w:t>
      </w:r>
    </w:p>
    <w:p>
      <w:pPr>
        <w:pStyle w:val="Normal"/>
        <w:tabs>
          <w:tab w:val="clear" w:pos="709"/>
          <w:tab w:val="left" w:pos="0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39.Соблюдать принцип взаимозаменяемости с другими специалистами Отдела.</w:t>
      </w:r>
    </w:p>
    <w:p>
      <w:pPr>
        <w:pStyle w:val="Normal"/>
        <w:tabs>
          <w:tab w:val="clear" w:pos="709"/>
          <w:tab w:val="left" w:pos="0" w:leader="none"/>
        </w:tabs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34. Выполнять качественно и своевременно поручения начальника Отдела и заместителя начальника Отдела.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35. </w:t>
      </w:r>
      <w:r>
        <w:rPr>
          <w:rFonts w:ascii="PT Astra Serif" w:hAnsi="PT Astra Serif"/>
          <w:color w:val="000000"/>
          <w:spacing w:val="11"/>
          <w:sz w:val="24"/>
        </w:rPr>
        <w:t xml:space="preserve">Докладывать </w:t>
      </w:r>
      <w:r>
        <w:rPr>
          <w:rFonts w:ascii="PT Astra Serif" w:hAnsi="PT Astra Serif"/>
          <w:color w:val="000000"/>
          <w:sz w:val="24"/>
        </w:rPr>
        <w:t>заместителю начальника Отдела,</w:t>
      </w:r>
      <w:r>
        <w:rPr>
          <w:rFonts w:ascii="PT Astra Serif" w:hAnsi="PT Astra Serif"/>
          <w:color w:val="000000"/>
          <w:spacing w:val="11"/>
          <w:sz w:val="24"/>
        </w:rPr>
        <w:t xml:space="preserve"> начальнику Отдела, </w:t>
      </w:r>
      <w:r>
        <w:rPr>
          <w:rFonts w:ascii="PT Astra Serif" w:hAnsi="PT Astra Serif"/>
          <w:color w:val="000000"/>
          <w:spacing w:val="3"/>
          <w:sz w:val="24"/>
        </w:rPr>
        <w:t>заместителям руководителя У</w:t>
      </w:r>
      <w:r>
        <w:rPr>
          <w:rFonts w:ascii="PT Astra Serif" w:hAnsi="PT Astra Serif"/>
          <w:color w:val="000000"/>
          <w:spacing w:val="4"/>
          <w:sz w:val="24"/>
        </w:rPr>
        <w:t>правления</w:t>
      </w:r>
      <w:r>
        <w:rPr>
          <w:rFonts w:ascii="PT Astra Serif" w:hAnsi="PT Astra Serif"/>
          <w:color w:val="000000"/>
          <w:spacing w:val="11"/>
          <w:sz w:val="24"/>
        </w:rPr>
        <w:t xml:space="preserve">, </w:t>
      </w:r>
      <w:r>
        <w:rPr>
          <w:rFonts w:ascii="PT Astra Serif" w:hAnsi="PT Astra Serif"/>
          <w:color w:val="000000"/>
          <w:spacing w:val="3"/>
          <w:sz w:val="24"/>
        </w:rPr>
        <w:t xml:space="preserve">руководителю </w:t>
      </w:r>
      <w:r>
        <w:rPr>
          <w:rFonts w:ascii="PT Astra Serif" w:hAnsi="PT Astra Serif"/>
          <w:color w:val="000000"/>
          <w:spacing w:val="11"/>
          <w:sz w:val="24"/>
        </w:rPr>
        <w:t>о  случаях обнаружения нарушений законности в работе У</w:t>
      </w:r>
      <w:r>
        <w:rPr>
          <w:rFonts w:ascii="PT Astra Serif" w:hAnsi="PT Astra Serif"/>
          <w:color w:val="000000"/>
          <w:spacing w:val="3"/>
          <w:sz w:val="24"/>
        </w:rPr>
        <w:t>правления</w:t>
      </w:r>
      <w:r>
        <w:rPr>
          <w:rFonts w:ascii="PT Astra Serif" w:hAnsi="PT Astra Serif"/>
          <w:color w:val="000000"/>
          <w:spacing w:val="4"/>
          <w:sz w:val="24"/>
        </w:rPr>
        <w:t xml:space="preserve">. 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36. 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правонарушении) на основании соответствующего приказа </w:t>
      </w:r>
      <w:r>
        <w:rPr>
          <w:rFonts w:ascii="PT Astra Serif" w:hAnsi="PT Astra Serif"/>
          <w:color w:val="000000"/>
          <w:spacing w:val="-3"/>
          <w:sz w:val="24"/>
        </w:rPr>
        <w:t xml:space="preserve">Федеральной службы </w:t>
      </w:r>
      <w:r>
        <w:rPr>
          <w:rFonts w:ascii="PT Astra Serif" w:hAnsi="PT Astra Serif"/>
          <w:color w:val="000000"/>
          <w:sz w:val="24"/>
        </w:rPr>
        <w:t>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доходов бюджетов субъектов РФ и местных бюджетов.</w:t>
      </w:r>
    </w:p>
    <w:p>
      <w:pPr>
        <w:pStyle w:val="Normal"/>
        <w:ind w:left="0" w:right="0" w:firstLine="567"/>
        <w:jc w:val="both"/>
        <w:rPr/>
      </w:pPr>
      <w:bookmarkStart w:id="3" w:name="sub_10910"/>
      <w:bookmarkEnd w:id="3"/>
      <w:r>
        <w:rPr>
          <w:rFonts w:ascii="PT Astra Serif" w:hAnsi="PT Astra Serif"/>
          <w:color w:val="000000"/>
          <w:sz w:val="24"/>
        </w:rPr>
        <w:t xml:space="preserve">37. Участвовать в осуществлении в соответствии с </w:t>
      </w:r>
      <w:hyperlink r:id="rId3">
        <w:r>
          <w:rPr>
            <w:rFonts w:ascii="PT Astra Serif" w:hAnsi="PT Astra Serif"/>
            <w:b w:val="false"/>
            <w:color w:val="000000"/>
            <w:sz w:val="24"/>
          </w:rPr>
          <w:t>законодательством</w:t>
        </w:r>
      </w:hyperlink>
      <w:r>
        <w:rPr>
          <w:rFonts w:ascii="PT Astra Serif" w:hAnsi="PT Astra Serif"/>
          <w:color w:val="000000"/>
          <w:sz w:val="24"/>
        </w:rPr>
        <w:t xml:space="preserve"> 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bookmarkStart w:id="4" w:name="sub_109101"/>
      <w:bookmarkEnd w:id="4"/>
      <w:r>
        <w:rPr>
          <w:rFonts w:ascii="PT Astra Serif" w:hAnsi="PT Astra Serif"/>
          <w:color w:val="000000"/>
          <w:sz w:val="24"/>
        </w:rPr>
        <w:t>38. 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или Правительства Российской Федерации,  актами Федеральной службы по надзору в сфере защиты прав потребителей и благополучия человека.</w:t>
      </w:r>
    </w:p>
    <w:p>
      <w:pPr>
        <w:pStyle w:val="Normal"/>
        <w:tabs>
          <w:tab w:val="clear" w:pos="709"/>
          <w:tab w:val="left" w:pos="1094" w:leader="none"/>
        </w:tabs>
        <w:spacing w:lineRule="exact" w:line="278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Ведущий специалист - эксперт отдела при исполнении своих служебных обязанностей имеет право </w:t>
      </w:r>
      <w:bookmarkStart w:id="5" w:name="sub_131331"/>
      <w:r>
        <w:rPr>
          <w:rFonts w:ascii="PT Astra Serif" w:hAnsi="PT Astra Serif"/>
          <w:sz w:val="24"/>
        </w:rPr>
        <w:t>в соответствии со статьей 14 Федерального закона от 27 июля 2004 г. № 79-ФЗ «О государственной гражданской службе» на:</w:t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защиту сведений о гражданском служащем;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должностной рост на конкурсной основе;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>
      <w:pPr>
        <w:pStyle w:val="Normal"/>
        <w:tabs>
          <w:tab w:val="clear" w:pos="709"/>
          <w:tab w:val="left" w:pos="931" w:leader="none"/>
        </w:tabs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проведение по его заявлению служебной</w:t>
      </w:r>
      <w:r>
        <w:rPr>
          <w:rFonts w:ascii="PT Astra Serif" w:hAnsi="PT Astra Serif"/>
          <w:sz w:val="24"/>
          <w:u w:val="single"/>
        </w:rPr>
        <w:t xml:space="preserve"> </w:t>
      </w:r>
      <w:r>
        <w:rPr>
          <w:rFonts w:ascii="PT Astra Serif" w:hAnsi="PT Astra Serif"/>
          <w:sz w:val="24"/>
        </w:rPr>
        <w:t>проверки;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 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>
      <w:pPr>
        <w:pStyle w:val="Normal"/>
        <w:widowControl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Ведущий специалист - эксперт Отдела несет ответственность в пределах, определенных действующим законодательством Российской Федерации:</w:t>
      </w:r>
    </w:p>
    <w:p>
      <w:pPr>
        <w:pStyle w:val="Normal"/>
        <w:widowControl/>
        <w:ind w:left="0" w:right="0" w:firstLine="720"/>
        <w:jc w:val="both"/>
        <w:rPr>
          <w:rFonts w:ascii="PT Astra Serif" w:hAnsi="PT Astra Serif"/>
        </w:rPr>
      </w:pPr>
      <w:bookmarkEnd w:id="5"/>
      <w:r>
        <w:rPr>
          <w:rFonts w:ascii="PT Astra Serif" w:hAnsi="PT Astra Serif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>
      <w:pPr>
        <w:pStyle w:val="Normal"/>
        <w:widowControl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>
      <w:pPr>
        <w:pStyle w:val="Normal"/>
        <w:widowControl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</w:p>
    <w:p>
      <w:pPr>
        <w:pStyle w:val="Normal"/>
        <w:widowControl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за  причинение  морального, имущественного ущерба;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4"/>
          <w:sz w:val="24"/>
        </w:rPr>
        <w:t xml:space="preserve">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 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PT Astra Serif" w:hAnsi="PT Astra Serif"/>
          <w:sz w:val="24"/>
        </w:rPr>
        <w:t>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PT Astra Serif" w:hAnsi="PT Astra Serif"/>
          <w:sz w:val="24"/>
        </w:rPr>
        <w:t>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PT Astra Serif" w:hAnsi="PT Astra Serif"/>
          <w:sz w:val="24"/>
        </w:rPr>
        <w:t>.</w:t>
      </w:r>
    </w:p>
    <w:p>
      <w:pPr>
        <w:pStyle w:val="Normal"/>
        <w:ind w:left="0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Гражданский служащий не в 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>
      <w:pPr>
        <w:pStyle w:val="Normal"/>
        <w:widowControl/>
        <w:ind w:left="0" w:right="0" w:firstLine="426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ind w:left="0" w:right="0" w:firstLine="691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IV. Перечень вопросов, по которым гражданский служащий вправе или обязан самостоятельно принимать определенные решения.</w:t>
      </w:r>
    </w:p>
    <w:p>
      <w:pPr>
        <w:pStyle w:val="Normal"/>
        <w:ind w:left="0" w:right="0" w:firstLine="691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 Ведущий специалист - эксперт в пределах своей компетенцией самостоятельно принимает  решения: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4.1.1. о планировании своей служебной деятельности,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4.1.2. о проведении организационных мероприятий по вопросам защиты прав потребителей, санитарно-эпидемиологического благополучия,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4.1.2. о необходимости включения в мероприятия по контролю специалистов ФБУЗ,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4.1.3. о необходимости применения административных мер воздействия при проведении мероприятий по контролю,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4.1.4. о необходимости проведения лабораторно-инструментальных исследований на объектах надзора,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4.1.5.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4.1.6. о принятии обоснованного решения по результатам надзорных мероприятий, рассмотрения обращений,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4.1.7. о рассмотрении и  согласовании документов в пределах компетенции,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4.1.8. принимает иные решения в пределах компетенции,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4.1.9. о подготовке и представлении  начальнику отдела  предложений в план работы отдела.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  <w:b/>
          <w:b/>
          <w:color w:val="000000"/>
          <w:sz w:val="24"/>
        </w:rPr>
      </w:pPr>
      <w:r>
        <w:rPr>
          <w:rFonts w:ascii="PT Astra Serif" w:hAnsi="PT Astra Serif"/>
          <w:b/>
          <w:color w:val="000000"/>
          <w:sz w:val="24"/>
        </w:rPr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V. Перечень вопросов по которым ведущий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5.1. Ведущий  специалист - эксперт Отдела вправе или обязан</w:t>
      </w:r>
      <w:r>
        <w:rPr>
          <w:rFonts w:ascii="PT Astra Serif" w:hAnsi="PT Astra Serif"/>
          <w:color w:val="000000"/>
          <w:spacing w:val="-8"/>
          <w:sz w:val="24"/>
        </w:rPr>
        <w:t xml:space="preserve"> принимать участие</w:t>
      </w:r>
      <w:r>
        <w:rPr>
          <w:rFonts w:ascii="PT Astra Serif" w:hAnsi="PT Astra Serif"/>
          <w:color w:val="000000"/>
          <w:sz w:val="24"/>
        </w:rPr>
        <w:t>: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-8"/>
          <w:sz w:val="24"/>
        </w:rPr>
        <w:t xml:space="preserve">5.1.1.  в подготовке </w:t>
      </w:r>
      <w:r>
        <w:rPr>
          <w:rFonts w:ascii="PT Astra Serif" w:hAnsi="PT Astra Serif"/>
          <w:color w:val="000000"/>
          <w:sz w:val="24"/>
        </w:rPr>
        <w:t>проектов постановлений, приказов, распоряжений и иных распорядительных документов Управления, материалов  для выступлений на совещаниях,</w:t>
      </w:r>
      <w:r>
        <w:rPr>
          <w:rFonts w:ascii="PT Astra Serif" w:hAnsi="PT Astra Serif"/>
          <w:color w:val="000000"/>
          <w:spacing w:val="-8"/>
          <w:sz w:val="24"/>
        </w:rPr>
        <w:t xml:space="preserve"> 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5.1.4. в подготовке  основных направлений  деятельности и планов работы Управления и ФБУЗ.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>
      <w:pPr>
        <w:pStyle w:val="Normal"/>
        <w:tabs>
          <w:tab w:val="clear" w:pos="709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6.1. В соответствии  со своими должностными обязанностями ведущий специалист -эксперт принимает решения в сроки, установленные  законодательными и иными нормативными правовыми актами Российской Федерации.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6.2. Подготовка, рассмотрение проектов управленческих и (или) иных решений гражданским служащим замещающим должность ведущего специалиста - эксперта, осуществляется с учетом сроков, установленных: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-федеральными законами и иными нормативными правовыми актами;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-Президентом Российской Федерации, Правительством Российской Федерации;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-Регламентом Роспотребнадзора;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-приказами и распоряжениями Роспотребнадзора, а также иными правовыми актами Роспотребнадзора;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-руководителем, заместителями руководителя Управления, начальником отдела, заместителем начальника отдела.</w:t>
      </w:r>
    </w:p>
    <w:p>
      <w:pPr>
        <w:pStyle w:val="Normal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VII. Порядок служебного взаимодействия ведущего специалиста -эксперта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b/>
          <w:color w:val="000000"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 Взаимодействие</w:t>
      </w:r>
      <w:r>
        <w:rPr>
          <w:rFonts w:ascii="PT Astra Serif" w:hAnsi="PT Astra Serif"/>
          <w:b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4"/>
        </w:rPr>
        <w:t>ведущего специалиста - эксперта</w:t>
      </w:r>
      <w:r>
        <w:rPr>
          <w:rFonts w:ascii="PT Astra Serif" w:hAnsi="PT Astra Serif"/>
          <w:sz w:val="24"/>
        </w:rPr>
        <w:t xml:space="preserve"> с гражданскими служащими Роспотребнадзора, государственными служащими иных государственных органов , а также с другими гражданами и организациями строится в рамках деловых отношений на основе  общих принципов служебного поведения гражданских служащих, утвержденных Указом Президента №885, и требований к служебному поведению, установленных статьей 18 Федерального закона от 27 июля 2004 г. № 79-ФЗ «О государственной гражданской службе Российской Федерации», а также  в соответствии с иными  нормативными правовыми актами Российской Федерации. </w:t>
      </w:r>
    </w:p>
    <w:p>
      <w:pPr>
        <w:pStyle w:val="Normal"/>
        <w:ind w:left="0" w:right="0" w:firstLine="720"/>
        <w:jc w:val="both"/>
        <w:rPr>
          <w:rFonts w:ascii="PT Astra Serif" w:hAnsi="PT Astra Serif"/>
          <w:b/>
          <w:b/>
          <w:color w:val="000000"/>
          <w:sz w:val="24"/>
        </w:rPr>
      </w:pPr>
      <w:r>
        <w:rPr>
          <w:rFonts w:ascii="PT Astra Serif" w:hAnsi="PT Astra Serif"/>
          <w:b/>
          <w:color w:val="000000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VIII.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8.1. Ведущий специалист - эксперт отдела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>
      <w:pPr>
        <w:pStyle w:val="Normal"/>
        <w:ind w:left="0" w:right="0" w:firstLine="426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4"/>
        </w:rPr>
        <w:t>IX</w:t>
      </w:r>
      <w:r>
        <w:rPr>
          <w:rFonts w:ascii="PT Astra Serif" w:hAnsi="PT Astra Serif"/>
          <w:color w:val="000000"/>
          <w:sz w:val="24"/>
        </w:rPr>
        <w:t>.</w:t>
      </w:r>
      <w:r>
        <w:rPr>
          <w:rFonts w:ascii="PT Astra Serif" w:hAnsi="PT Astra Serif"/>
          <w:b/>
          <w:color w:val="000000"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9.1. Эффективность и результативность профессиональной служебной деятельности </w:t>
      </w:r>
    </w:p>
    <w:p>
      <w:pPr>
        <w:pStyle w:val="23"/>
        <w:spacing w:lineRule="auto" w:line="24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ведущего специалиста –эксперта оценивается по следующим показателям:</w:t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>
      <w:pPr>
        <w:pStyle w:val="23"/>
        <w:spacing w:lineRule="auto" w:line="24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количеству возвратов на доработку ранее подготовленных документов;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количеству повторных обращений по рассматриваемым вопросам;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наличию у гражданского служащего поощрений за безупречную и эффективную службу;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оценке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отсутствию жалоб граждан, юридических лиц на действия (бездействие) гражданского служащего;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осознанию ответственности за последствия своих действий, принимаемых решений;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sectPr>
      <w:footerReference w:type="default" r:id="rId4"/>
      <w:type w:val="nextPage"/>
      <w:pgSz w:w="11906" w:h="16838"/>
      <w:pgMar w:left="1304" w:right="851" w:header="0" w:top="851" w:footer="720" w:bottom="851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auto"/>
    <w:pitch w:val="default"/>
  </w:font>
  <w:font w:name="Arial">
    <w:charset w:val="01"/>
    <w:family w:val="auto"/>
    <w:pitch w:val="default"/>
  </w:font>
  <w:font w:name="Cambria">
    <w:charset w:val="01"/>
    <w:family w:val="auto"/>
    <w:pitch w:val="default"/>
  </w:font>
  <w:font w:name="XO Thames">
    <w:charset w:val="01"/>
    <w:family w:val="auto"/>
    <w:pitch w:val="default"/>
  </w:font>
  <w:font w:name="Courier New">
    <w:charset w:val="01"/>
    <w:family w:val="auto"/>
    <w:pitch w:val="default"/>
  </w:font>
  <w:font w:name="PT Astra Serif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ind w:left="0"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1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996315" cy="14541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5760" cy="144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409.1pt;margin-top:0.05pt;width:78.35pt;height:11.3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1_ch"/>
    <w:uiPriority w:val="0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3_ch"/>
    <w:uiPriority w:val="9"/>
    <w:qFormat/>
    <w:pPr>
      <w:keepNext w:val="true"/>
      <w:keepLines/>
      <w:widowControl/>
      <w:spacing w:lineRule="auto" w:line="276" w:before="480" w:after="0"/>
      <w:jc w:val="both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next w:val="Normal"/>
    <w:link w:val="Style_35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1"/>
    </w:pPr>
    <w:rPr>
      <w:rFonts w:ascii="XO Thames" w:hAnsi="XO Thames" w:eastAsia="Tahoma" w:cs="Noto Sans Devanagari"/>
      <w:b/>
      <w:color w:val="00A0FF"/>
      <w:spacing w:val="0"/>
      <w:kern w:val="0"/>
      <w:sz w:val="26"/>
      <w:szCs w:val="20"/>
      <w:lang w:val="ru-RU" w:eastAsia="zh-CN" w:bidi="hi-IN"/>
    </w:rPr>
  </w:style>
  <w:style w:type="paragraph" w:styleId="3">
    <w:name w:val="Heading 3"/>
    <w:next w:val="Normal"/>
    <w:link w:val="Style_19_ch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Tahoma" w:cs="Noto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4">
    <w:name w:val="Heading 4"/>
    <w:next w:val="Normal"/>
    <w:link w:val="Style_34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Tahoma" w:cs="Noto Sans Devanagari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22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Footer">
    <w:name w:val="Footer"/>
    <w:link w:val="Style_2"/>
    <w:qFormat/>
    <w:rPr/>
  </w:style>
  <w:style w:type="character" w:styleId="Contents2">
    <w:name w:val="Contents 2"/>
    <w:link w:val="Style_12"/>
    <w:qFormat/>
    <w:rPr/>
  </w:style>
  <w:style w:type="character" w:styleId="Contents4">
    <w:name w:val="Contents 4"/>
    <w:link w:val="Style_13"/>
    <w:qFormat/>
    <w:rPr/>
  </w:style>
  <w:style w:type="character" w:styleId="Contents6">
    <w:name w:val="Contents 6"/>
    <w:link w:val="Style_14"/>
    <w:qFormat/>
    <w:rPr/>
  </w:style>
  <w:style w:type="character" w:styleId="Contents7">
    <w:name w:val="Contents 7"/>
    <w:link w:val="Style_15"/>
    <w:qFormat/>
    <w:rPr/>
  </w:style>
  <w:style w:type="character" w:styleId="BodyTextIndent2">
    <w:name w:val="Body Text Indent 2"/>
    <w:link w:val="Style_16"/>
    <w:qFormat/>
    <w:rPr>
      <w:rFonts w:ascii="Times New Roman" w:hAnsi="Times New Roman"/>
      <w:sz w:val="24"/>
    </w:rPr>
  </w:style>
  <w:style w:type="character" w:styleId="Style9">
    <w:name w:val="Гипертекстовая ссылка"/>
    <w:basedOn w:val="Style10"/>
    <w:link w:val="Style_5"/>
    <w:qFormat/>
    <w:rPr>
      <w:color w:val="106BBE"/>
    </w:rPr>
  </w:style>
  <w:style w:type="character" w:styleId="DefaultParagraphFont">
    <w:name w:val="Default Paragraph Font"/>
    <w:link w:val="Style_18"/>
    <w:qFormat/>
    <w:rPr/>
  </w:style>
  <w:style w:type="character" w:styleId="Heading3">
    <w:name w:val="Heading 3"/>
    <w:link w:val="Style_19"/>
    <w:qFormat/>
    <w:rPr>
      <w:rFonts w:ascii="XO Thames" w:hAnsi="XO Thames"/>
      <w:b/>
      <w:i/>
      <w:color w:val="000000"/>
    </w:rPr>
  </w:style>
  <w:style w:type="character" w:styleId="Default">
    <w:name w:val="Default"/>
    <w:link w:val="Style_6"/>
    <w:qFormat/>
    <w:rPr>
      <w:color w:val="000000"/>
      <w:sz w:val="24"/>
    </w:rPr>
  </w:style>
  <w:style w:type="character" w:styleId="Contents3">
    <w:name w:val="Contents 3"/>
    <w:link w:val="Style_20"/>
    <w:qFormat/>
    <w:rPr/>
  </w:style>
  <w:style w:type="character" w:styleId="ConsNormal">
    <w:name w:val="ConsNormal"/>
    <w:link w:val="Style_21"/>
    <w:qFormat/>
    <w:rPr>
      <w:rFonts w:ascii="Arial" w:hAnsi="Arial"/>
    </w:rPr>
  </w:style>
  <w:style w:type="character" w:styleId="Style10">
    <w:name w:val="Цветовое выделение"/>
    <w:link w:val="Style_17"/>
    <w:qFormat/>
    <w:rPr>
      <w:b/>
      <w:color w:val="26282F"/>
    </w:rPr>
  </w:style>
  <w:style w:type="character" w:styleId="Heading5">
    <w:name w:val="Heading 5"/>
    <w:link w:val="Style_22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3"/>
    <w:qFormat/>
    <w:rPr>
      <w:rFonts w:ascii="Cambria" w:hAnsi="Cambria"/>
      <w:b/>
      <w:color w:val="365F91"/>
      <w:sz w:val="28"/>
    </w:rPr>
  </w:style>
  <w:style w:type="character" w:styleId="Style11">
    <w:name w:val="Интернет-ссылка"/>
    <w:link w:val="Style_23"/>
    <w:rPr>
      <w:color w:val="0000FF"/>
      <w:u w:val="single"/>
    </w:rPr>
  </w:style>
  <w:style w:type="character" w:styleId="Footnote">
    <w:name w:val="Footnote"/>
    <w:link w:val="Style_24"/>
    <w:qFormat/>
    <w:rPr>
      <w:rFonts w:ascii="XO Thames" w:hAnsi="XO Thames"/>
      <w:sz w:val="22"/>
    </w:rPr>
  </w:style>
  <w:style w:type="character" w:styleId="Contents1">
    <w:name w:val="Contents 1"/>
    <w:link w:val="Style_25"/>
    <w:qFormat/>
    <w:rPr>
      <w:rFonts w:ascii="XO Thames" w:hAnsi="XO Thames"/>
      <w:b/>
    </w:rPr>
  </w:style>
  <w:style w:type="character" w:styleId="Textbody">
    <w:name w:val="Text body"/>
    <w:link w:val="Style_9"/>
    <w:qFormat/>
    <w:rPr>
      <w:rFonts w:ascii="Times New Roman" w:hAnsi="Times New Roman"/>
      <w:sz w:val="28"/>
    </w:rPr>
  </w:style>
  <w:style w:type="character" w:styleId="HeaderandFooter">
    <w:name w:val="Header and Footer"/>
    <w:link w:val="Style_26"/>
    <w:qFormat/>
    <w:rPr>
      <w:rFonts w:ascii="XO Thames" w:hAnsi="XO Thames"/>
      <w:sz w:val="20"/>
    </w:rPr>
  </w:style>
  <w:style w:type="character" w:styleId="Pagenumber">
    <w:name w:val="page number"/>
    <w:basedOn w:val="DefaultParagraphFont"/>
    <w:link w:val="Style_1"/>
    <w:qFormat/>
    <w:rPr/>
  </w:style>
  <w:style w:type="character" w:styleId="Contents9">
    <w:name w:val="Contents 9"/>
    <w:link w:val="Style_27"/>
    <w:qFormat/>
    <w:rPr/>
  </w:style>
  <w:style w:type="character" w:styleId="Contents8">
    <w:name w:val="Contents 8"/>
    <w:link w:val="Style_28"/>
    <w:qFormat/>
    <w:rPr/>
  </w:style>
  <w:style w:type="character" w:styleId="Style12">
    <w:name w:val="Другое"/>
    <w:link w:val="Style_29"/>
    <w:qFormat/>
    <w:rPr>
      <w:rFonts w:ascii="Times New Roman" w:hAnsi="Times New Roman"/>
    </w:rPr>
  </w:style>
  <w:style w:type="character" w:styleId="S4">
    <w:name w:val="s4"/>
    <w:basedOn w:val="DefaultParagraphFont"/>
    <w:link w:val="Style_8"/>
    <w:qFormat/>
    <w:rPr/>
  </w:style>
  <w:style w:type="character" w:styleId="Contents5">
    <w:name w:val="Contents 5"/>
    <w:link w:val="Style_30"/>
    <w:qFormat/>
    <w:rPr/>
  </w:style>
  <w:style w:type="character" w:styleId="Subtitle">
    <w:name w:val="Subtitle"/>
    <w:link w:val="Style_31"/>
    <w:qFormat/>
    <w:rPr>
      <w:rFonts w:ascii="XO Thames" w:hAnsi="XO Thames"/>
      <w:i/>
      <w:color w:val="616161"/>
      <w:sz w:val="24"/>
    </w:rPr>
  </w:style>
  <w:style w:type="character" w:styleId="Style13">
    <w:name w:val="Таблицы (моноширинный)"/>
    <w:link w:val="Style_4"/>
    <w:qFormat/>
    <w:rPr>
      <w:rFonts w:ascii="Courier New" w:hAnsi="Courier New"/>
      <w:sz w:val="24"/>
    </w:rPr>
  </w:style>
  <w:style w:type="character" w:styleId="Toc10">
    <w:name w:val="toc 10"/>
    <w:link w:val="Style_32"/>
    <w:qFormat/>
    <w:rPr/>
  </w:style>
  <w:style w:type="character" w:styleId="Title">
    <w:name w:val="Title"/>
    <w:link w:val="Style_33"/>
    <w:qFormat/>
    <w:rPr>
      <w:rFonts w:ascii="XO Thames" w:hAnsi="XO Thames"/>
      <w:b/>
      <w:sz w:val="52"/>
    </w:rPr>
  </w:style>
  <w:style w:type="character" w:styleId="Heading4">
    <w:name w:val="Heading 4"/>
    <w:link w:val="Style_34"/>
    <w:qFormat/>
    <w:rPr>
      <w:rFonts w:ascii="XO Thames" w:hAnsi="XO Thames"/>
      <w:b/>
      <w:color w:val="595959"/>
      <w:sz w:val="26"/>
    </w:rPr>
  </w:style>
  <w:style w:type="character" w:styleId="21">
    <w:name w:val="Основной текст (2)"/>
    <w:link w:val="Style_10"/>
    <w:qFormat/>
    <w:rPr>
      <w:rFonts w:ascii="Times New Roman" w:hAnsi="Times New Roman"/>
      <w:sz w:val="28"/>
    </w:rPr>
  </w:style>
  <w:style w:type="character" w:styleId="Heading2">
    <w:name w:val="Heading 2"/>
    <w:link w:val="Style_35"/>
    <w:qFormat/>
    <w:rPr>
      <w:rFonts w:ascii="XO Thames" w:hAnsi="XO Thames"/>
      <w:b/>
      <w:color w:val="00A0FF"/>
      <w:sz w:val="26"/>
    </w:rPr>
  </w:style>
  <w:style w:type="character" w:styleId="S2">
    <w:name w:val="s2"/>
    <w:basedOn w:val="DefaultParagraphFont"/>
    <w:link w:val="Style_7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XO Thames" w:hAnsi="XO Thames" w:eastAsia="Tahoma" w:cs="Noto Sans Devanagari"/>
      <w:sz w:val="28"/>
      <w:szCs w:val="28"/>
    </w:rPr>
  </w:style>
  <w:style w:type="paragraph" w:styleId="Style15">
    <w:name w:val="Body Text"/>
    <w:basedOn w:val="Normal"/>
    <w:link w:val="Style_9_ch"/>
    <w:pPr>
      <w:widowControl/>
      <w:jc w:val="both"/>
    </w:pPr>
    <w:rPr>
      <w:rFonts w:ascii="Times New Roman" w:hAnsi="Times New Roman"/>
      <w:sz w:val="28"/>
    </w:rPr>
  </w:style>
  <w:style w:type="paragraph" w:styleId="Style16">
    <w:name w:val="List"/>
    <w:basedOn w:val="Style15"/>
    <w:pPr/>
    <w:rPr>
      <w:rFonts w:ascii="XO Thames" w:hAnsi="XO Thame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XO Thames" w:hAnsi="XO Thames" w:cs="Noto Sans Devanagari"/>
      <w:i/>
      <w:iCs/>
      <w:sz w:val="28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XO Thames" w:hAnsi="XO Thames" w:cs="Noto Sans Devanagari"/>
    </w:rPr>
  </w:style>
  <w:style w:type="paragraph" w:styleId="Style19">
    <w:name w:val="Верхний и нижний колонтитулы"/>
    <w:link w:val="Style_26_ch"/>
    <w:qFormat/>
    <w:pPr>
      <w:widowControl/>
      <w:suppressAutoHyphens w:val="true"/>
      <w:bidi w:val="0"/>
      <w:spacing w:lineRule="auto" w:line="36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0">
    <w:name w:val="Footer"/>
    <w:basedOn w:val="Normal"/>
    <w:link w:val="Style_2_ch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22">
    <w:name w:val="TOC 2"/>
    <w:next w:val="Normal"/>
    <w:link w:val="Style_12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13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">
    <w:name w:val="TOC 6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21">
    <w:name w:val="Body Text Indent 2"/>
    <w:basedOn w:val="Normal"/>
    <w:link w:val="Style_16_ch"/>
    <w:qFormat/>
    <w:pPr>
      <w:widowControl/>
      <w:spacing w:lineRule="auto" w:line="480"/>
      <w:ind w:left="0" w:right="0" w:firstLine="720"/>
      <w:jc w:val="both"/>
    </w:pPr>
    <w:rPr>
      <w:rFonts w:ascii="Times New Roman" w:hAnsi="Times New Roman"/>
      <w:sz w:val="24"/>
    </w:rPr>
  </w:style>
  <w:style w:type="paragraph" w:styleId="Style21">
    <w:name w:val="Гипертекстовая ссылка"/>
    <w:basedOn w:val="Style22"/>
    <w:link w:val="Style_5_ch"/>
    <w:qFormat/>
    <w:pPr/>
    <w:rPr>
      <w:color w:val="106BBE"/>
    </w:rPr>
  </w:style>
  <w:style w:type="paragraph" w:styleId="DefaultParagraphFont1">
    <w:name w:val="Default Paragraph Font"/>
    <w:link w:val="Style_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1">
    <w:name w:val="Default"/>
    <w:link w:val="Style_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31">
    <w:name w:val="TOC 3"/>
    <w:next w:val="Normal"/>
    <w:link w:val="Style_20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Normal1">
    <w:name w:val="ConsNormal"/>
    <w:link w:val="Style_21_ch"/>
    <w:qFormat/>
    <w:pPr>
      <w:widowControl w:val="false"/>
      <w:suppressAutoHyphens w:val="true"/>
      <w:bidi w:val="0"/>
      <w:spacing w:lineRule="auto" w:line="240" w:before="0" w:after="0"/>
      <w:ind w:left="0" w:right="19772" w:firstLine="72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2">
    <w:name w:val="Цветовое выделение"/>
    <w:link w:val="Style_1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Style_2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25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"/>
    <w:basedOn w:val="DefaultParagraphFont1"/>
    <w:link w:val="Style_1_ch"/>
    <w:qFormat/>
    <w:pPr/>
    <w:rPr/>
  </w:style>
  <w:style w:type="paragraph" w:styleId="9">
    <w:name w:val="TOC 9"/>
    <w:next w:val="Normal"/>
    <w:link w:val="Style_27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28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3">
    <w:name w:val="Другое"/>
    <w:basedOn w:val="Normal"/>
    <w:link w:val="Style_29_ch"/>
    <w:qFormat/>
    <w:pPr>
      <w:jc w:val="both"/>
    </w:pPr>
    <w:rPr>
      <w:rFonts w:ascii="Times New Roman" w:hAnsi="Times New Roman"/>
    </w:rPr>
  </w:style>
  <w:style w:type="paragraph" w:styleId="S41">
    <w:name w:val="s4"/>
    <w:basedOn w:val="DefaultParagraphFont1"/>
    <w:link w:val="Style_8_ch"/>
    <w:qFormat/>
    <w:pPr/>
    <w:rPr/>
  </w:style>
  <w:style w:type="paragraph" w:styleId="51">
    <w:name w:val="TOC 5"/>
    <w:next w:val="Normal"/>
    <w:link w:val="Style_30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4">
    <w:name w:val="Subtitle"/>
    <w:next w:val="Normal"/>
    <w:link w:val="Style_31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Style25">
    <w:name w:val="Таблицы (моноширинный)"/>
    <w:basedOn w:val="Normal"/>
    <w:next w:val="Normal"/>
    <w:link w:val="Style_4_ch"/>
    <w:qFormat/>
    <w:pPr/>
    <w:rPr>
      <w:rFonts w:ascii="Courier New" w:hAnsi="Courier New"/>
      <w:sz w:val="24"/>
    </w:rPr>
  </w:style>
  <w:style w:type="paragraph" w:styleId="Toc101">
    <w:name w:val="toc 10"/>
    <w:next w:val="Normal"/>
    <w:link w:val="Style_32_ch"/>
    <w:uiPriority w:val="39"/>
    <w:qFormat/>
    <w:pPr>
      <w:widowControl/>
      <w:suppressAutoHyphens w:val="true"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6">
    <w:name w:val="Title"/>
    <w:next w:val="Normal"/>
    <w:link w:val="Style_33_ch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52"/>
      <w:szCs w:val="20"/>
      <w:lang w:val="ru-RU" w:eastAsia="zh-CN" w:bidi="hi-IN"/>
    </w:rPr>
  </w:style>
  <w:style w:type="paragraph" w:styleId="23">
    <w:name w:val="Основной текст (2)"/>
    <w:basedOn w:val="Normal"/>
    <w:link w:val="Style_10_ch"/>
    <w:qFormat/>
    <w:pPr>
      <w:spacing w:lineRule="exact" w:line="322"/>
      <w:jc w:val="both"/>
    </w:pPr>
    <w:rPr>
      <w:rFonts w:ascii="Times New Roman" w:hAnsi="Times New Roman"/>
      <w:sz w:val="28"/>
    </w:rPr>
  </w:style>
  <w:style w:type="paragraph" w:styleId="S21">
    <w:name w:val="s2"/>
    <w:basedOn w:val="DefaultParagraphFont1"/>
    <w:link w:val="Style_7_ch"/>
    <w:qFormat/>
    <w:pPr/>
    <w:rPr/>
  </w:style>
  <w:style w:type="paragraph" w:styleId="Style27">
    <w:name w:val="Содержимое врезки"/>
    <w:basedOn w:val="Normal"/>
    <w:qFormat/>
    <w:pPr/>
    <w:rPr/>
  </w:style>
  <w:style w:type="table" w:default="1" w:styleId="Style_36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0003000.0" TargetMode="External"/><Relationship Id="rId3" Type="http://schemas.openxmlformats.org/officeDocument/2006/relationships/hyperlink" Target="garantf1://12037300.400" TargetMode="Externa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Application>LibreOffice/6.4.7.2$Linux_X86_64 LibreOffice_project/40$Build-2</Application>
  <Pages>13</Pages>
  <Words>5196</Words>
  <Characters>40680</Characters>
  <CharactersWithSpaces>45761</CharactersWithSpaces>
  <Paragraphs>223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2024-03-19T13:02:23Z</cp:lastPrinted>
  <dcterms:modified xsi:type="dcterms:W3CDTF">2024-03-19T16:56:35Z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